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37" w:rsidRDefault="005B6F37" w:rsidP="005B6F37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附件4：</w:t>
      </w:r>
    </w:p>
    <w:p w:rsidR="005B6F37" w:rsidRDefault="005B6F37" w:rsidP="005B6F37">
      <w:pPr>
        <w:jc w:val="center"/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</w:pPr>
    </w:p>
    <w:p w:rsidR="005B6F37" w:rsidRDefault="005B6F37" w:rsidP="005B6F37">
      <w:pPr>
        <w:jc w:val="center"/>
        <w:rPr>
          <w:rFonts w:ascii="宋体" w:cs="宋体" w:hint="eastAsia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2024年浙江省数字建造创新应用大赛评审细则</w:t>
      </w:r>
    </w:p>
    <w:p w:rsidR="005B6F37" w:rsidRDefault="005B6F37" w:rsidP="005B6F37">
      <w:pPr>
        <w:jc w:val="center"/>
        <w:rPr>
          <w:rFonts w:ascii="宋体" w:cs="宋体" w:hint="eastAsia"/>
          <w:b/>
          <w:color w:val="000000"/>
          <w:kern w:val="0"/>
          <w:sz w:val="36"/>
          <w:szCs w:val="36"/>
        </w:rPr>
      </w:pPr>
    </w:p>
    <w:p w:rsidR="005B6F37" w:rsidRDefault="005B6F37" w:rsidP="005B6F37">
      <w:pPr>
        <w:pStyle w:val="a8"/>
        <w:spacing w:line="520" w:lineRule="exact"/>
        <w:ind w:left="210" w:firstLineChars="0" w:firstLine="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一、参赛对象</w:t>
      </w:r>
    </w:p>
    <w:p w:rsidR="005B6F37" w:rsidRDefault="005B6F37" w:rsidP="005B6F37">
      <w:pPr>
        <w:pStyle w:val="a8"/>
        <w:spacing w:line="52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1、本省施工企业在各地（含境外）的工程项目。</w:t>
      </w:r>
    </w:p>
    <w:p w:rsidR="005B6F37" w:rsidRDefault="005B6F37" w:rsidP="005B6F37">
      <w:pPr>
        <w:pStyle w:val="a8"/>
        <w:spacing w:line="52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2、外地施工企业在本省的工程项目。</w:t>
      </w:r>
    </w:p>
    <w:p w:rsidR="005B6F37" w:rsidRDefault="005B6F37" w:rsidP="005B6F37">
      <w:pPr>
        <w:pStyle w:val="a8"/>
        <w:spacing w:line="52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3、申报单位须在浙江地区开展经营活动，原则上参加单位为浙江省建筑业行业协会会员，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暂不是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协会会员的单位办理入会手续后参加。</w:t>
      </w:r>
    </w:p>
    <w:p w:rsidR="005B6F37" w:rsidRDefault="005B6F37" w:rsidP="005B6F37">
      <w:pPr>
        <w:pStyle w:val="a8"/>
        <w:spacing w:line="52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4、每个项目只可报一个奖项，同一企业申报数量不限。</w:t>
      </w:r>
    </w:p>
    <w:p w:rsidR="005B6F37" w:rsidRDefault="005B6F37" w:rsidP="005B6F37">
      <w:pPr>
        <w:spacing w:line="520" w:lineRule="exact"/>
        <w:ind w:firstLineChars="98" w:firstLine="315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二、参赛要求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1、申报的项目应为在建工程或者竣工不超过2年的工程。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2、以建筑施工企业为主，单独或联合参赛申报均可。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3、同一申报成果人数最多不超过10人,且应为参赛单位正式员工。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4、参赛人员均需提供单位</w:t>
      </w:r>
      <w:proofErr w:type="gramStart"/>
      <w:r>
        <w:rPr>
          <w:rFonts w:ascii="仿宋" w:eastAsia="仿宋" w:hAnsi="仿宋" w:hint="eastAsia"/>
          <w:sz w:val="32"/>
          <w:szCs w:val="32"/>
        </w:rPr>
        <w:t>社保证明</w:t>
      </w:r>
      <w:proofErr w:type="gramEnd"/>
      <w:r>
        <w:rPr>
          <w:rFonts w:ascii="仿宋" w:eastAsia="仿宋" w:hAnsi="仿宋" w:hint="eastAsia"/>
          <w:sz w:val="32"/>
          <w:szCs w:val="32"/>
        </w:rPr>
        <w:t>文件。</w:t>
      </w:r>
    </w:p>
    <w:p w:rsidR="005B6F37" w:rsidRDefault="005B6F37" w:rsidP="005B6F37">
      <w:pPr>
        <w:pStyle w:val="a8"/>
        <w:spacing w:line="520" w:lineRule="exact"/>
        <w:ind w:firstLineChars="98" w:firstLine="315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三、奖项设置</w:t>
      </w:r>
    </w:p>
    <w:p w:rsidR="005B6F37" w:rsidRDefault="005B6F37" w:rsidP="005B6F3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1、数字建造BIM综合运用类名次设置：依据项目成果应用的水平高低分为一等奖、二等奖、三等奖和优秀奖若干。</w:t>
      </w:r>
    </w:p>
    <w:p w:rsidR="005B6F37" w:rsidRDefault="005B6F37" w:rsidP="005B6F37">
      <w:pPr>
        <w:widowControl/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智能建造企业数字化转型类名次设置：依据企业数字化、智能化整体应用程度高低进行初步评审，最后根据考察结果进行现场答辩评选出智能建造创新应用一等奖、二等奖、三等奖若干，同时从获得荣誉的企业代表中择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评选出具有代表性的数字化转型领军企业家（人物）若干。</w:t>
      </w:r>
    </w:p>
    <w:tbl>
      <w:tblPr>
        <w:tblW w:w="85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872"/>
        <w:gridCol w:w="536"/>
        <w:gridCol w:w="656"/>
        <w:gridCol w:w="555"/>
        <w:gridCol w:w="600"/>
        <w:gridCol w:w="482"/>
        <w:gridCol w:w="1052"/>
      </w:tblGrid>
      <w:tr w:rsidR="005B6F37" w:rsidTr="005B6F37">
        <w:trPr>
          <w:trHeight w:val="560"/>
          <w:jc w:val="center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奖项组别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3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奖项设置（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B6F37" w:rsidTr="005B6F37">
        <w:trPr>
          <w:trHeight w:val="560"/>
          <w:jc w:val="center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人类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数字化转型领军企业家</w:t>
            </w:r>
          </w:p>
        </w:tc>
        <w:tc>
          <w:tcPr>
            <w:tcW w:w="3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B6F37" w:rsidTr="005B6F37">
        <w:trPr>
          <w:trHeight w:val="561"/>
          <w:jc w:val="center"/>
        </w:trPr>
        <w:tc>
          <w:tcPr>
            <w:tcW w:w="1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数字建造BIM综合运用类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房建综合奖</w:t>
            </w: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一等奖</w:t>
            </w:r>
          </w:p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二等奖</w:t>
            </w:r>
          </w:p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三等奖</w:t>
            </w:r>
          </w:p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若干</w:t>
            </w:r>
          </w:p>
        </w:tc>
      </w:tr>
      <w:tr w:rsidR="005B6F37" w:rsidTr="005B6F37">
        <w:trPr>
          <w:trHeight w:val="5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基建综合奖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若干</w:t>
            </w:r>
          </w:p>
        </w:tc>
      </w:tr>
      <w:tr w:rsidR="005B6F37" w:rsidTr="005B6F37">
        <w:trPr>
          <w:trHeight w:val="5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单项奖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若干</w:t>
            </w:r>
          </w:p>
        </w:tc>
      </w:tr>
      <w:tr w:rsidR="005B6F37" w:rsidTr="005B6F37">
        <w:trPr>
          <w:trHeight w:val="501"/>
          <w:jc w:val="center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智能建造</w:t>
            </w:r>
          </w:p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企业数字化</w:t>
            </w:r>
          </w:p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转型类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智能建造创新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应用奖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若干</w:t>
            </w:r>
          </w:p>
        </w:tc>
      </w:tr>
    </w:tbl>
    <w:p w:rsidR="005B6F37" w:rsidRDefault="005B6F37" w:rsidP="005B6F37">
      <w:pPr>
        <w:rPr>
          <w:rFonts w:ascii="仿宋" w:eastAsia="仿宋" w:hAnsi="仿宋" w:cs="微软雅黑" w:hint="eastAsia"/>
          <w:sz w:val="24"/>
        </w:rPr>
      </w:pPr>
    </w:p>
    <w:p w:rsidR="005B6F37" w:rsidRDefault="005B6F37" w:rsidP="005B6F37">
      <w:pPr>
        <w:pStyle w:val="a8"/>
        <w:spacing w:beforeLines="50" w:before="156" w:line="520" w:lineRule="exact"/>
        <w:ind w:firstLineChars="0" w:firstLine="0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  四、作品提交</w:t>
      </w:r>
    </w:p>
    <w:p w:rsidR="005B6F37" w:rsidRDefault="005B6F37" w:rsidP="005B6F37">
      <w:pPr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参赛作品应包括报奖PPT、相关成果资料（模型、技术文件等）、视频、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社保证明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、免责声明书（附件3）等，参赛作品以电子文件的形式发送至指定邮箱</w:t>
      </w:r>
      <w:hyperlink r:id="rId5" w:history="1">
        <w:r>
          <w:rPr>
            <w:rStyle w:val="a9"/>
            <w:rFonts w:ascii="仿宋" w:eastAsia="仿宋" w:hAnsi="仿宋" w:cs="仿宋" w:hint="eastAsia"/>
            <w:sz w:val="32"/>
            <w:szCs w:val="32"/>
          </w:rPr>
          <w:t>gcb@zjjzyxh.com，联系人许</w:t>
        </w:r>
      </w:hyperlink>
      <w:r>
        <w:rPr>
          <w:rFonts w:ascii="仿宋" w:eastAsia="仿宋" w:hAnsi="仿宋" w:cs="仿宋" w:hint="eastAsia"/>
          <w:sz w:val="32"/>
          <w:szCs w:val="32"/>
        </w:rPr>
        <w:t>杭，办公室电话：0571-87248072。成果提交邮件主题:</w:t>
      </w:r>
      <w:r>
        <w:rPr>
          <w:rFonts w:ascii="仿宋" w:eastAsia="仿宋" w:hAnsi="仿宋" w:hint="eastAsia"/>
          <w:sz w:val="32"/>
          <w:szCs w:val="32"/>
        </w:rPr>
        <w:t>申报单位全称+参赛组别全称命名。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成果提交内容如下：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成果汇报PPT或文档:内容应包括但不局限：公司简介、公司应用策划、项目说明、数字建造应用的软硬件配置及该软件在本项目中的具体应用点、技术应用情况说明；应用的特点、亮点、主要成果、应用效益和创新等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2、成果资料：应用过程中涉及的全部文件，格式不限，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（模型、技术文件等）。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3、视频文件：格式MP4,总长在8分钟以内，包括项目说明、参赛成果的主要特点、创新点和应用心得总结及其他作品展示等。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4、参赛人员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社保证明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文件加盖公司公章的扫描件1份。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5、《2024年浙江省数字建造创新应用大赛申报表》（见附件1）加盖公司公章的扫描件1份；或者《</w:t>
      </w:r>
      <w:r>
        <w:rPr>
          <w:rFonts w:ascii="仿宋" w:eastAsia="仿宋" w:hAnsi="仿宋" w:hint="eastAsia"/>
          <w:sz w:val="32"/>
          <w:szCs w:val="32"/>
        </w:rPr>
        <w:t>2024年浙江省数字建造创新应用大赛企业数字化转型申报表》</w:t>
      </w:r>
      <w:r>
        <w:rPr>
          <w:rFonts w:ascii="仿宋" w:eastAsia="仿宋" w:hAnsi="仿宋" w:cs="仿宋" w:hint="eastAsia"/>
          <w:sz w:val="32"/>
          <w:szCs w:val="32"/>
        </w:rPr>
        <w:t>（见附件2）加盖公司公章的扫描件1份。</w:t>
      </w:r>
    </w:p>
    <w:p w:rsidR="005B6F37" w:rsidRDefault="005B6F37" w:rsidP="005B6F3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bookmarkStart w:id="0" w:name="_Toc4767"/>
      <w:bookmarkStart w:id="1" w:name="_Toc3773"/>
      <w:bookmarkStart w:id="2" w:name="_Toc8004"/>
      <w:r>
        <w:rPr>
          <w:rFonts w:ascii="仿宋" w:eastAsia="仿宋" w:hAnsi="仿宋" w:cs="仿宋" w:hint="eastAsia"/>
          <w:sz w:val="32"/>
          <w:szCs w:val="32"/>
        </w:rPr>
        <w:t>6、《2024年浙江省数字建造创新应用大赛免责声明书》加盖公司公章的扫描件1份（见附件3）。</w:t>
      </w:r>
      <w:bookmarkEnd w:id="0"/>
      <w:bookmarkEnd w:id="1"/>
      <w:bookmarkEnd w:id="2"/>
    </w:p>
    <w:p w:rsidR="005B6F37" w:rsidRDefault="005B6F37" w:rsidP="005B6F37">
      <w:pPr>
        <w:ind w:firstLineChars="200" w:firstLine="643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五、参赛类别</w:t>
      </w:r>
    </w:p>
    <w:p w:rsidR="005B6F37" w:rsidRDefault="005B6F37" w:rsidP="005B6F37">
      <w:pPr>
        <w:spacing w:line="52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2024年浙江省数字建造创新应用大赛组别设置</w:t>
      </w:r>
    </w:p>
    <w:tbl>
      <w:tblPr>
        <w:tblpPr w:leftFromText="181" w:rightFromText="181" w:vertAnchor="text" w:horzAnchor="margin" w:tblpXSpec="center" w:tblpY="600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005"/>
        <w:gridCol w:w="5817"/>
      </w:tblGrid>
      <w:tr w:rsidR="005B6F37" w:rsidTr="005B6F37">
        <w:trPr>
          <w:trHeight w:val="5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参赛成果说明</w:t>
            </w:r>
          </w:p>
        </w:tc>
      </w:tr>
      <w:tr w:rsidR="005B6F37" w:rsidTr="005B6F37">
        <w:trPr>
          <w:trHeight w:val="840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数字建造</w:t>
            </w:r>
          </w:p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BIM综合</w:t>
            </w:r>
          </w:p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运用类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房建</w:t>
            </w:r>
          </w:p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综合组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房建类项目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涉及到设计阶段、施工阶段和运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维阶段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中应用的BIM技术成果。</w:t>
            </w:r>
          </w:p>
        </w:tc>
      </w:tr>
      <w:tr w:rsidR="005B6F37" w:rsidTr="005B6F3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基建</w:t>
            </w:r>
          </w:p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综合组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基建类项目涉及到设计阶段、施工阶段和运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维阶段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中应用BIM技术、BIM+GIS技术、BIM+无人机技术、BIM+IOT、BIM+生产调度、电子沙盘、BIM+项目综合管理等；（项目类型包含综合铁路、公路、城市轨道交通、大型桥梁与隧道、综合市政、水利电力、交通枢纽工程等）。</w:t>
            </w:r>
          </w:p>
        </w:tc>
      </w:tr>
      <w:tr w:rsidR="005B6F37" w:rsidTr="005B6F3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单项组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spacing w:line="5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机电施工BIM应用、钢结构施工BIM应用、幕墙和装饰装修施工BIM应用、其他单项应用等。</w:t>
            </w:r>
          </w:p>
        </w:tc>
      </w:tr>
      <w:tr w:rsidR="005B6F37" w:rsidTr="005B6F37">
        <w:trPr>
          <w:trHeight w:val="840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智能建造</w:t>
            </w:r>
          </w:p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企业数字化转型类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企业组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企业数字化转型类是以企业为单位申报，根据企业的综合创新管理能力、标准体系、数字化、集成化、智能化应用程度、团队人员整体意识水平、案例成果价值验证、创新技术应用投入等多方面综合考评。</w:t>
            </w:r>
          </w:p>
        </w:tc>
      </w:tr>
      <w:tr w:rsidR="005B6F37" w:rsidTr="005B6F37">
        <w:trPr>
          <w:trHeight w:val="8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spacing w:line="360" w:lineRule="auto"/>
              <w:ind w:firstLineChars="100" w:firstLine="28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评审原则：</w:t>
            </w:r>
          </w:p>
          <w:p w:rsidR="005B6F37" w:rsidRDefault="005B6F37">
            <w:pPr>
              <w:spacing w:line="560" w:lineRule="exact"/>
              <w:ind w:firstLineChars="150" w:firstLine="42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1、专业性、应用广度、应用深度、一体化集成应用、经济效益、社会效益、创新性、推广性；</w:t>
            </w:r>
          </w:p>
          <w:p w:rsidR="005B6F37" w:rsidRDefault="005B6F37">
            <w:pPr>
              <w:spacing w:line="560" w:lineRule="exact"/>
              <w:ind w:firstLineChars="150" w:firstLine="42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2、成果评审注重数字建造技术在工程项目中的实际应用效果。具体指标:成果(案例)申报材料应确保真实性,描述翔实、表述准确、图文并茂、重点突出；</w:t>
            </w:r>
          </w:p>
          <w:p w:rsidR="005B6F37" w:rsidRDefault="005B6F37">
            <w:pPr>
              <w:spacing w:line="560" w:lineRule="exact"/>
              <w:ind w:firstLineChars="200" w:firstLine="56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3、着重挖掘在应用中产生的成效、创新点和推广价值等。材料中涉密、敏感信息或有知识产权争议内容请妥善处理。</w:t>
            </w:r>
          </w:p>
        </w:tc>
      </w:tr>
    </w:tbl>
    <w:p w:rsidR="005B6F37" w:rsidRDefault="005B6F37" w:rsidP="005B6F37">
      <w:pPr>
        <w:spacing w:afterLines="50" w:after="156" w:line="520" w:lineRule="exact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六、评分细则</w:t>
      </w:r>
    </w:p>
    <w:p w:rsidR="005B6F37" w:rsidRDefault="005B6F37" w:rsidP="005B6F37">
      <w:pPr>
        <w:spacing w:line="520" w:lineRule="exact"/>
        <w:ind w:firstLineChars="202" w:firstLine="646"/>
        <w:jc w:val="left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专家评审时在坚持评审原则之下与评分细则同时使用。</w:t>
      </w:r>
    </w:p>
    <w:p w:rsidR="005B6F37" w:rsidRDefault="005B6F37" w:rsidP="005B6F37">
      <w:pPr>
        <w:pStyle w:val="a0"/>
        <w:ind w:firstLine="210"/>
        <w:rPr>
          <w:rFonts w:hint="eastAsia"/>
        </w:rPr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166"/>
        <w:gridCol w:w="5767"/>
        <w:gridCol w:w="930"/>
      </w:tblGrid>
      <w:tr w:rsidR="005B6F37" w:rsidTr="005B6F37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数字建造-BIM综合运用类（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房建综合组、基建综合组、单项组</w:t>
            </w: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）</w:t>
            </w:r>
          </w:p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评分细则</w:t>
            </w:r>
          </w:p>
        </w:tc>
      </w:tr>
      <w:tr w:rsidR="005B6F37" w:rsidTr="005B6F37">
        <w:trPr>
          <w:trHeight w:val="540"/>
          <w:jc w:val="center"/>
        </w:trPr>
        <w:tc>
          <w:tcPr>
            <w:tcW w:w="442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维度</w:t>
            </w:r>
          </w:p>
        </w:tc>
        <w:tc>
          <w:tcPr>
            <w:tcW w:w="33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细则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B6F37" w:rsidTr="005B6F37">
        <w:trPr>
          <w:trHeight w:val="90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应用体系(5分)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实施策划、应用组织、应用制度</w:t>
            </w:r>
          </w:p>
          <w:p w:rsidR="005B6F37" w:rsidRDefault="005B6F37">
            <w:pPr>
              <w:widowControl/>
              <w:tabs>
                <w:tab w:val="left" w:pos="720"/>
              </w:tabs>
              <w:jc w:val="left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1）考察项目是否建立全面、可执行落地的BIM建模标准、BIM应用标准、内容交付标准；</w:t>
            </w:r>
          </w:p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2）考察是否建立明确的应用组织和岗位分工；</w:t>
            </w:r>
          </w:p>
          <w:p w:rsidR="005B6F37" w:rsidRDefault="005B6F37">
            <w:pPr>
              <w:widowControl/>
              <w:jc w:val="left"/>
              <w:textAlignment w:val="center"/>
              <w:rPr>
                <w:rFonts w:eastAsia="仿宋" w:hint="eastAsia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3）考察项目是否建立可操作、可执行的应用制度，以保障项目实施进度、成果质量。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Default="005B6F3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5B6F37" w:rsidTr="005B6F37">
        <w:trPr>
          <w:trHeight w:val="90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建模质量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br/>
              <w:t>(10分)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考察建模能力</w:t>
            </w:r>
          </w:p>
          <w:p w:rsid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1）反映模型符合建模标准的细节；</w:t>
            </w:r>
          </w:p>
          <w:p w:rsid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2）模型精度能够指导BIM应用点的实施，达到应用目的；</w:t>
            </w:r>
          </w:p>
          <w:p w:rsid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3）参数化建模能力：通过参数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化工具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或方式提</w:t>
            </w:r>
          </w:p>
          <w:p w:rsid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高建模效率。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Default="005B6F37">
            <w:pPr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</w:p>
        </w:tc>
      </w:tr>
      <w:tr w:rsidR="005B6F37" w:rsidRPr="005B6F37" w:rsidTr="005B6F37">
        <w:trPr>
          <w:trHeight w:val="700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应用方案</w:t>
            </w: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br/>
              <w:t>(10分)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考察对于项目的重难点挖掘深度；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考察基于项目重难点的解决思路；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考察</w:t>
            </w:r>
            <w:proofErr w:type="gramStart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基于解决</w:t>
            </w:r>
            <w:proofErr w:type="gramEnd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方案的项目应用目标；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考察基于应用目标的完整应用流程。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Pr="005B6F37" w:rsidRDefault="005B6F37">
            <w:pPr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</w:p>
        </w:tc>
      </w:tr>
      <w:tr w:rsidR="005B6F37" w:rsidRPr="005B6F37" w:rsidTr="005B6F37">
        <w:trPr>
          <w:trHeight w:val="700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深度应用</w:t>
            </w:r>
          </w:p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(45分)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考察BIM深度应用落地情况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1）有二项及以上应用</w:t>
            </w:r>
            <w:proofErr w:type="gramStart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点促进</w:t>
            </w:r>
            <w:proofErr w:type="gramEnd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了实际工作的改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进，并取得明显成效(如成本节约、工时减少、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 xml:space="preserve"> 技术提升、人员能力等方面)，提供详细的BIM   </w:t>
            </w:r>
          </w:p>
          <w:p w:rsidR="005B6F37" w:rsidRPr="005B6F37" w:rsidRDefault="005B6F37">
            <w:pPr>
              <w:jc w:val="left"/>
              <w:rPr>
                <w:rFonts w:hint="eastAsia"/>
                <w:bCs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应用</w:t>
            </w:r>
            <w:proofErr w:type="gramStart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点实施</w:t>
            </w:r>
            <w:proofErr w:type="gramEnd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方案；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2）对应BIM应用</w:t>
            </w:r>
            <w:proofErr w:type="gramStart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点实施</w:t>
            </w:r>
            <w:proofErr w:type="gramEnd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过程中对应的过程作业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文件和解决相应问题的措施；</w:t>
            </w:r>
          </w:p>
          <w:p w:rsidR="005B6F37" w:rsidRPr="005B6F37" w:rsidRDefault="005B6F37">
            <w:p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3）项目BIM交付是否满足运</w:t>
            </w:r>
            <w:proofErr w:type="gramStart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维阶段</w:t>
            </w:r>
            <w:proofErr w:type="gramEnd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的使用需求以及运</w:t>
            </w:r>
            <w:proofErr w:type="gramStart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维阶段</w:t>
            </w:r>
            <w:proofErr w:type="gramEnd"/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的BIM应用情况；</w:t>
            </w:r>
          </w:p>
          <w:p w:rsidR="005B6F37" w:rsidRPr="005B6F37" w:rsidRDefault="005B6F37">
            <w:pPr>
              <w:jc w:val="left"/>
              <w:rPr>
                <w:rFonts w:eastAsia="仿宋" w:hint="eastAsia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4）实施的BIM应用点经过深入的项目实践验证，总结了一套书面的方法体系，并具有可推广性、复制性，提供一套形成的标准方法体系。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Pr="005B6F37" w:rsidRDefault="005B6F3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5B6F37" w:rsidRPr="005B6F37" w:rsidTr="005B6F37">
        <w:trPr>
          <w:trHeight w:val="1202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创新亮点</w:t>
            </w:r>
          </w:p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(20分)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 w:rsidP="0081458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施工过程数字化管理亮点（项目综合指挥调度中心，掌握全面的项目信息）；</w:t>
            </w:r>
          </w:p>
          <w:p w:rsidR="005B6F37" w:rsidRPr="005B6F37" w:rsidRDefault="005B6F37" w:rsidP="0081458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BIM在装配式场景应用；</w:t>
            </w:r>
          </w:p>
          <w:p w:rsidR="005B6F37" w:rsidRPr="005B6F37" w:rsidRDefault="005B6F37" w:rsidP="0081458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BIM+IBMS（智能化）；</w:t>
            </w:r>
          </w:p>
          <w:p w:rsidR="005B6F37" w:rsidRPr="005B6F37" w:rsidRDefault="005B6F37" w:rsidP="0081458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通过GIS电子沙盘直观展示项目BIM等相关数字化技术在项目的应用。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Pr="005B6F37" w:rsidRDefault="005B6F37">
            <w:pPr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</w:p>
        </w:tc>
      </w:tr>
      <w:tr w:rsidR="005B6F37" w:rsidRPr="005B6F37" w:rsidTr="005B6F37">
        <w:trPr>
          <w:trHeight w:val="2134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应用总结(10分)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针对项目数字建造的思考</w:t>
            </w:r>
          </w:p>
          <w:p w:rsidR="005B6F37" w:rsidRPr="005B6F37" w:rsidRDefault="005B6F37" w:rsidP="0081458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项目成果推广可行性；</w:t>
            </w:r>
          </w:p>
          <w:p w:rsidR="005B6F37" w:rsidRPr="005B6F37" w:rsidRDefault="005B6F37" w:rsidP="0081458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落地难易性；</w:t>
            </w:r>
          </w:p>
          <w:p w:rsidR="005B6F37" w:rsidRPr="005B6F37" w:rsidRDefault="005B6F37" w:rsidP="0081458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项目整体应用价值总结分析等。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Pr="005B6F37" w:rsidRDefault="005B6F37">
            <w:pPr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</w:p>
        </w:tc>
      </w:tr>
      <w:tr w:rsidR="005B6F37" w:rsidRPr="005B6F37" w:rsidTr="005B6F37">
        <w:trPr>
          <w:trHeight w:val="2134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附加分（0-10分）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BIM技术与其他数字化技术在建筑各阶段应用的融合。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5B6F37" w:rsidRPr="005B6F37" w:rsidRDefault="005B6F37">
            <w:pPr>
              <w:rPr>
                <w:rFonts w:ascii="仿宋" w:eastAsia="仿宋" w:hAnsi="仿宋" w:cs="宋体" w:hint="eastAsia"/>
                <w:bCs/>
                <w:sz w:val="28"/>
                <w:szCs w:val="28"/>
              </w:rPr>
            </w:pPr>
          </w:p>
        </w:tc>
      </w:tr>
    </w:tbl>
    <w:p w:rsidR="005B6F37" w:rsidRPr="005B6F37" w:rsidRDefault="005B6F37" w:rsidP="005B6F37">
      <w:pPr>
        <w:pStyle w:val="a0"/>
        <w:ind w:firstLineChars="0" w:firstLine="0"/>
        <w:rPr>
          <w:rFonts w:hint="eastAsia"/>
        </w:rPr>
      </w:pPr>
    </w:p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31"/>
        <w:gridCol w:w="1511"/>
        <w:gridCol w:w="5380"/>
      </w:tblGrid>
      <w:tr w:rsidR="005B6F37" w:rsidRPr="005B6F37" w:rsidTr="005B6F37">
        <w:trPr>
          <w:trHeight w:val="698"/>
          <w:jc w:val="center"/>
        </w:trPr>
        <w:tc>
          <w:tcPr>
            <w:tcW w:w="9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智能建造-企业数字化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转型组</w:t>
            </w:r>
            <w:proofErr w:type="gramEnd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-评分细则</w:t>
            </w:r>
          </w:p>
        </w:tc>
      </w:tr>
      <w:tr w:rsidR="005B6F37" w:rsidRPr="005B6F37" w:rsidTr="005B6F37">
        <w:trPr>
          <w:trHeight w:val="698"/>
          <w:jc w:val="center"/>
        </w:trPr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参赛成果说明</w:t>
            </w:r>
          </w:p>
        </w:tc>
        <w:tc>
          <w:tcPr>
            <w:tcW w:w="68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企业综合业务管理数字化应用成果阐述（技术管理，安全管理，质量管理，生产管理，劳务管理，物资管理，商务管理 ，）3专业以上，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项企一体化</w:t>
            </w:r>
            <w:proofErr w:type="gramEnd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集成应用关联项目数量5个以上</w:t>
            </w:r>
          </w:p>
        </w:tc>
      </w:tr>
      <w:tr w:rsidR="005B6F37" w:rsidRPr="005B6F37" w:rsidTr="005B6F37">
        <w:trPr>
          <w:trHeight w:val="270"/>
          <w:jc w:val="center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单项分类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评分细则</w:t>
            </w:r>
          </w:p>
        </w:tc>
      </w:tr>
      <w:tr w:rsidR="005B6F37" w:rsidRPr="005B6F37" w:rsidTr="005B6F37">
        <w:trPr>
          <w:trHeight w:val="600"/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1.企业数字化整体情况及应用体系（20）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1.1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企业基本情况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企业规模-企业从业人员、营业收入、资产总额等</w:t>
            </w:r>
          </w:p>
        </w:tc>
      </w:tr>
      <w:tr w:rsidR="005B6F37" w:rsidRPr="005B6F37" w:rsidTr="005B6F37">
        <w:trPr>
          <w:trHeight w:val="800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1.2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技术研发投入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智能建造的研发投入，成立企业智能建造技术中心，配备相应的研发应用团队；联合省内高校搭建企业智能建造人才培养平台，联合开展智能建造专业人才双向培养。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1.3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奖项获得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国家级，省级，市级数字，智能化类奖项获得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1.4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企业数字化程度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企业不同领域大数据统计、数据抽提筛选能力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平台数据标准化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业务数据逻辑清晰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内部业务数据流通、工作协作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1.5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企业数字化体系建设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各项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目施工</w:t>
            </w:r>
            <w:proofErr w:type="gramEnd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情况数据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有清晰合理的体系架构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有科学的体系相关文件、规定、制度等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有明确的项企一体业务架构逻辑</w:t>
            </w:r>
          </w:p>
        </w:tc>
      </w:tr>
      <w:tr w:rsidR="005B6F37" w:rsidRPr="005B6F37" w:rsidTr="005B6F37">
        <w:trPr>
          <w:trHeight w:val="600"/>
          <w:jc w:val="center"/>
        </w:trPr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2.管理领域数字化应用（40）</w:t>
            </w:r>
          </w:p>
        </w:tc>
        <w:tc>
          <w:tcPr>
            <w:tcW w:w="7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总分40分，管理领域数字化应用不少3个领域，评判不多于4个领域，每个领域10分，最多评判4个领域，评委可自主选择成果中4个优异或有特点有创新的管理领域予以评判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技术管理</w:t>
            </w:r>
          </w:p>
        </w:tc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方案线上发起、审批等流程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图纸会审、变更洽商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ind w:leftChars="-50" w:left="-105" w:rightChars="-50" w:right="-105"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规范、图集、工法等线上资料库积累复用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图纸管理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资料管理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网页、手机、云等操作端应用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其他实用性、推广性、创新点</w:t>
            </w:r>
          </w:p>
        </w:tc>
      </w:tr>
      <w:tr w:rsidR="005B6F37" w:rsidRPr="005B6F37" w:rsidTr="005B6F37">
        <w:trPr>
          <w:trHeight w:val="567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2.2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安全管理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安全标准库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安全隐患、风险库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资料、照片管理在线化，可留痕追溯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问题汇总、解</w:t>
            </w:r>
            <w:bookmarkStart w:id="3" w:name="_GoBack"/>
            <w:bookmarkEnd w:id="3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决闭环、对比数据化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网页、手机、云等操作端应用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工作流程</w:t>
            </w:r>
            <w:proofErr w:type="gramStart"/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2.3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质量管理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质量做法、标准库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质量规范、文件库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质量问题、照片等数据化</w:t>
            </w:r>
          </w:p>
        </w:tc>
      </w:tr>
      <w:tr w:rsidR="005B6F37" w:rsidRP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问题汇总、解决闭环、对比数据化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P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</w:pPr>
            <w:r w:rsidRPr="005B6F3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网页、手机、云等操作端应用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工作流程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2.4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生产管理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进度三级联动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任务多端派发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任务在线追踪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资料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数据对比分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2.5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劳务管理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项目采用生物技术识别人员信息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信息登记、过程管理、注销等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相关硬件应用深度、广度及与管理形成系统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劳务数据与其他管理领域打通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2.6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物资管理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利用硬件结合采集物资数据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验收移动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数据对比分析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相关资料、工作流程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2.7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商务管理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多算对比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在线化</w:t>
            </w:r>
            <w:proofErr w:type="gramEnd"/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目标成本与预算及图纸关联性数据化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对比分析功能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大数据统计</w:t>
            </w:r>
          </w:p>
        </w:tc>
      </w:tr>
      <w:tr w:rsidR="005B6F37" w:rsidTr="005B6F37">
        <w:trPr>
          <w:trHeight w:val="720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建筑机器人及智能装备水平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人工智能、智能工程设备、智慧工地物联网装备、施工机器人、3D打印等技术的应用水平及管理效果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2.9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BIM技术应用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在企业承建项目中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应用占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比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3.项企一体集成化应用（20）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3.1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集成与</w:t>
            </w:r>
          </w:p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应用</w:t>
            </w:r>
          </w:p>
        </w:tc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spacing w:before="100" w:beforeAutospacing="1" w:after="100" w:afterAutospacing="1"/>
              <w:ind w:leftChars="-50" w:left="-105" w:rightChars="-50" w:right="-105"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企业通过数字化管理覆盖的项目不少于5个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企业、项目数据相互集成度，是否实现经济成本业务、进度生产业务数据集成、管理一体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数据的管理程度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大数据对比分析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企业、项目协同程度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项目数据对企业管理的支撑价值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企业对项目的赋能</w:t>
            </w:r>
          </w:p>
        </w:tc>
      </w:tr>
      <w:tr w:rsidR="005B6F37" w:rsidTr="005B6F37">
        <w:trPr>
          <w:trHeight w:val="425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标准化程度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4.成果评价，综合效益（20）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专业性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企业数字化及业务融通的专业性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应用广度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覆盖业务领域、人员、项目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应用深度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企业数字化整体应用程度，如参与覆盖人数、工作方式改变等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一体化集成性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应用点及数据均集成在一个平台且项目与企业有一定联通协作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有明确的时间、成本、人力等经济效益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通过数字转型有一定社会影响和可观效益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创新性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结合施工业务特点，数字化功能有一定创新性</w:t>
            </w:r>
          </w:p>
        </w:tc>
      </w:tr>
      <w:tr w:rsidR="005B6F37" w:rsidTr="005B6F37">
        <w:trPr>
          <w:trHeight w:val="428"/>
          <w:jc w:val="center"/>
        </w:trPr>
        <w:tc>
          <w:tcPr>
            <w:tcW w:w="9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4.8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推广性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数字化转型程度易于推广应用</w:t>
            </w:r>
          </w:p>
        </w:tc>
      </w:tr>
      <w:tr w:rsidR="005B6F37" w:rsidTr="005B6F37">
        <w:trPr>
          <w:trHeight w:val="7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5.整体评价及其他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5.1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加分项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F37" w:rsidRDefault="005B6F3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评委自主把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我成果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是否特别突出、特别有特点、可做优秀案例、整体感知较优秀（5）如果专家评定该项工作可以加分，请说明原因。专家评审时“宁缺毋滥”，并且控制每项加分在1~5分之间</w:t>
            </w:r>
          </w:p>
        </w:tc>
      </w:tr>
    </w:tbl>
    <w:p w:rsidR="005B6F37" w:rsidRDefault="005B6F37" w:rsidP="005B6F37">
      <w:pPr>
        <w:pStyle w:val="a0"/>
        <w:ind w:firstLineChars="0" w:firstLine="0"/>
        <w:rPr>
          <w:rFonts w:hint="eastAsia"/>
        </w:rPr>
      </w:pPr>
    </w:p>
    <w:p w:rsidR="005B6F37" w:rsidRDefault="005B6F37" w:rsidP="005B6F37">
      <w:pPr>
        <w:pStyle w:val="a7"/>
        <w:widowControl/>
        <w:spacing w:line="52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七、参赛须知</w:t>
      </w:r>
    </w:p>
    <w:p w:rsidR="005B6F37" w:rsidRDefault="005B6F37" w:rsidP="005B6F37">
      <w:pPr>
        <w:spacing w:line="520" w:lineRule="exact"/>
        <w:ind w:firstLineChars="202" w:firstLine="646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1、参赛者必须遵守我国有关法律，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请保证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所使用软件的正版权限。</w:t>
      </w:r>
    </w:p>
    <w:p w:rsidR="005B6F37" w:rsidRDefault="005B6F37" w:rsidP="005B6F37">
      <w:pPr>
        <w:spacing w:line="520" w:lineRule="exact"/>
        <w:ind w:firstLineChars="202" w:firstLine="646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2、参赛者必须保证成果的原创性，不得抄袭、剽窃他人成果。组委会有权抽查参赛作品成果真实性，如有虚假有权取消获奖资格。</w:t>
      </w:r>
    </w:p>
    <w:p w:rsidR="005B6F37" w:rsidRDefault="005B6F37" w:rsidP="005B6F37">
      <w:pPr>
        <w:spacing w:line="520" w:lineRule="exact"/>
        <w:ind w:firstLineChars="202" w:firstLine="646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3、本次大赛不收取任何费用，不存在任何报名费、评审费、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入围费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等。</w:t>
      </w:r>
    </w:p>
    <w:p w:rsidR="000A0E63" w:rsidRDefault="005B6F37" w:rsidP="005B6F37">
      <w:r>
        <w:rPr>
          <w:rFonts w:ascii="仿宋" w:eastAsia="仿宋" w:hAnsi="仿宋" w:cs="仿宋" w:hint="eastAsia"/>
          <w:sz w:val="32"/>
          <w:szCs w:val="32"/>
        </w:rPr>
        <w:t>4、参赛成果原则上不予退还,如有宣传需要，可直接使用相关素材。</w:t>
      </w:r>
    </w:p>
    <w:sectPr w:rsidR="000A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874F85"/>
    <w:multiLevelType w:val="singleLevel"/>
    <w:tmpl w:val="E4874F85"/>
    <w:lvl w:ilvl="0">
      <w:start w:val="1"/>
      <w:numFmt w:val="decimal"/>
      <w:suff w:val="nothing"/>
      <w:lvlText w:val="%1）"/>
      <w:lvlJc w:val="left"/>
      <w:pPr>
        <w:ind w:left="0" w:firstLine="0"/>
      </w:pPr>
    </w:lvl>
  </w:abstractNum>
  <w:abstractNum w:abstractNumId="1" w15:restartNumberingAfterBreak="0">
    <w:nsid w:val="F4B41910"/>
    <w:multiLevelType w:val="singleLevel"/>
    <w:tmpl w:val="F4B41910"/>
    <w:lvl w:ilvl="0">
      <w:start w:val="1"/>
      <w:numFmt w:val="decimal"/>
      <w:suff w:val="nothing"/>
      <w:lvlText w:val="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F"/>
    <w:rsid w:val="000A0E63"/>
    <w:rsid w:val="005B6F37"/>
    <w:rsid w:val="006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D63CF-4D3A-4C7B-BF83-8182358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rsid w:val="005B6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B6F37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5B6F3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autoRedefine/>
    <w:uiPriority w:val="99"/>
    <w:semiHidden/>
    <w:unhideWhenUsed/>
    <w:qFormat/>
    <w:rsid w:val="005B6F37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5B6F37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autoRedefine/>
    <w:uiPriority w:val="99"/>
    <w:semiHidden/>
    <w:unhideWhenUsed/>
    <w:qFormat/>
    <w:rsid w:val="005B6F3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List Paragraph"/>
    <w:basedOn w:val="a"/>
    <w:autoRedefine/>
    <w:uiPriority w:val="99"/>
    <w:qFormat/>
    <w:rsid w:val="005B6F3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1"/>
    <w:uiPriority w:val="99"/>
    <w:semiHidden/>
    <w:unhideWhenUsed/>
    <w:rsid w:val="005B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b@zjjzyxh.com&#65292;&#32852;&#31995;&#20154;&#3576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2024-04-03T08:23:00Z</dcterms:created>
  <dcterms:modified xsi:type="dcterms:W3CDTF">2024-04-03T08:23:00Z</dcterms:modified>
</cp:coreProperties>
</file>